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E75" w:rsidRDefault="00A83E75" w:rsidP="00A83E75">
      <w:pPr>
        <w:rPr>
          <w:sz w:val="28"/>
          <w:szCs w:val="28"/>
        </w:rPr>
      </w:pPr>
      <w:r>
        <w:rPr>
          <w:sz w:val="28"/>
          <w:szCs w:val="28"/>
        </w:rPr>
        <w:t>Proposed code language for consistency with SB 286</w:t>
      </w:r>
    </w:p>
    <w:p w:rsidR="00A83E75" w:rsidRDefault="00A83E75" w:rsidP="00A83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SB 286 – Section 1/633.102 FS</w:t>
      </w:r>
    </w:p>
    <w:p w:rsidR="00A83E75" w:rsidRDefault="00A83E75" w:rsidP="00A83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Section 1.</w:t>
      </w:r>
      <w:proofErr w:type="gramEnd"/>
      <w:r>
        <w:rPr>
          <w:rFonts w:ascii="Times New Roman" w:eastAsia="Times New Roman" w:hAnsi="Times New Roman" w:cs="Times New Roman"/>
          <w:sz w:val="24"/>
          <w:szCs w:val="24"/>
        </w:rPr>
        <w:t> </w:t>
      </w:r>
      <w:r>
        <w:rPr>
          <w:rFonts w:ascii="Times New Roman" w:eastAsia="Times New Roman" w:hAnsi="Times New Roman" w:cs="Times New Roman"/>
          <w:sz w:val="24"/>
          <w:szCs w:val="24"/>
        </w:rPr>
        <w:t>Subsections (3) and (11) of section 633.102, Florida Statutes, are amended to read:</w:t>
      </w:r>
    </w:p>
    <w:p w:rsidR="00A83E75" w:rsidRDefault="00A83E75" w:rsidP="00A83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“Contractor V” means a contractor whose business is limited to the execution of contracts requiring the ability to    fabricate, install, </w:t>
      </w:r>
      <w:r>
        <w:rPr>
          <w:rFonts w:ascii="Times New Roman" w:eastAsia="Times New Roman" w:hAnsi="Times New Roman" w:cs="Times New Roman"/>
          <w:strike/>
          <w:sz w:val="24"/>
          <w:szCs w:val="24"/>
        </w:rPr>
        <w:t>inspect,</w:t>
      </w:r>
      <w:r>
        <w:rPr>
          <w:rFonts w:ascii="Times New Roman" w:eastAsia="Times New Roman" w:hAnsi="Times New Roman" w:cs="Times New Roman"/>
          <w:sz w:val="24"/>
          <w:szCs w:val="24"/>
        </w:rPr>
        <w:t xml:space="preserve"> alter, repair, and service the    underground piping for a fire protection system using water as the extinguishing agent beginning at the point of service as defined in this act and ending no more than 1 foot above the finished floor. </w:t>
      </w:r>
      <w:r>
        <w:rPr>
          <w:rFonts w:ascii="Times New Roman" w:eastAsia="Times New Roman" w:hAnsi="Times New Roman" w:cs="Times New Roman"/>
          <w:sz w:val="24"/>
          <w:szCs w:val="24"/>
          <w:u w:val="single"/>
        </w:rPr>
        <w:t xml:space="preserve">A Contractor V may inspect underground piping for a water-based fire protection system under the direction of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 Contractor I or Contractor II.</w:t>
      </w:r>
    </w:p>
    <w:p w:rsidR="00A83E75" w:rsidRDefault="00A83E75" w:rsidP="00A83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sz w:val="24"/>
          <w:szCs w:val="24"/>
        </w:rPr>
      </w:pPr>
      <w:r>
        <w:rPr>
          <w:rFonts w:ascii="Times New Roman" w:eastAsia="Times New Roman" w:hAnsi="Times New Roman" w:cs="Times New Roman"/>
          <w:strike/>
          <w:sz w:val="24"/>
          <w:szCs w:val="24"/>
        </w:rPr>
        <w:t>The definitions in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subsection may not be construed to include engineers or architects </w:t>
      </w:r>
      <w:r>
        <w:rPr>
          <w:rFonts w:ascii="Times New Roman" w:eastAsia="Times New Roman" w:hAnsi="Times New Roman" w:cs="Times New Roman"/>
          <w:sz w:val="24"/>
          <w:szCs w:val="24"/>
          <w:u w:val="single"/>
        </w:rPr>
        <w:t>within the defined terms</w:t>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u w:val="single"/>
        </w:rPr>
        <w:t>does</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do</w:t>
      </w:r>
      <w:r>
        <w:rPr>
          <w:rFonts w:ascii="Times New Roman" w:eastAsia="Times New Roman" w:hAnsi="Times New Roman" w:cs="Times New Roman"/>
          <w:sz w:val="24"/>
          <w:szCs w:val="24"/>
        </w:rPr>
        <w:t xml:space="preserve"> not limit or prohibit a licensed fire protection engineer or architect with fire protection design experience from designing any type of fire protection system. A distinction is made between system design concepts prepared by the design professional and system layout as defined in this section and typically prepared by the contractor. However, a person certified </w:t>
      </w:r>
      <w:r>
        <w:rPr>
          <w:rFonts w:ascii="Times New Roman" w:eastAsia="Times New Roman" w:hAnsi="Times New Roman" w:cs="Times New Roman"/>
          <w:sz w:val="24"/>
          <w:szCs w:val="24"/>
          <w:u w:val="single"/>
        </w:rPr>
        <w:t>under this chapter</w:t>
      </w:r>
      <w:r>
        <w:rPr>
          <w:rFonts w:ascii="Times New Roman" w:eastAsia="Times New Roman" w:hAnsi="Times New Roman" w:cs="Times New Roman"/>
          <w:sz w:val="24"/>
          <w:szCs w:val="24"/>
        </w:rPr>
        <w:t xml:space="preserve"> as a Contractor I </w:t>
      </w:r>
      <w:r>
        <w:rPr>
          <w:rFonts w:ascii="Times New Roman" w:eastAsia="Times New Roman" w:hAnsi="Times New Roman" w:cs="Times New Roman"/>
          <w:sz w:val="24"/>
          <w:szCs w:val="24"/>
          <w:u w:val="single"/>
        </w:rPr>
        <w:t>or</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Contractor II</w:t>
      </w:r>
      <w:r>
        <w:rPr>
          <w:rFonts w:ascii="Times New Roman" w:eastAsia="Times New Roman" w:hAnsi="Times New Roman" w:cs="Times New Roman"/>
          <w:strike/>
          <w:sz w:val="24"/>
          <w:szCs w:val="24"/>
        </w:rPr>
        <w:t>, or Contractor IV under this chapter</w:t>
      </w:r>
      <w:r>
        <w:rPr>
          <w:rFonts w:ascii="Times New Roman" w:eastAsia="Times New Roman" w:hAnsi="Times New Roman" w:cs="Times New Roman"/>
          <w:sz w:val="24"/>
          <w:szCs w:val="24"/>
        </w:rPr>
        <w:t xml:space="preserve"> may design </w:t>
      </w:r>
      <w:r>
        <w:rPr>
          <w:rFonts w:ascii="Times New Roman" w:eastAsia="Times New Roman" w:hAnsi="Times New Roman" w:cs="Times New Roman"/>
          <w:sz w:val="24"/>
          <w:szCs w:val="24"/>
          <w:u w:val="single"/>
        </w:rPr>
        <w:t>new</w:t>
      </w:r>
      <w:r>
        <w:rPr>
          <w:rFonts w:ascii="Times New Roman" w:eastAsia="Times New Roman" w:hAnsi="Times New Roman" w:cs="Times New Roman"/>
          <w:sz w:val="24"/>
          <w:szCs w:val="24"/>
        </w:rPr>
        <w:t xml:space="preserve"> fire protection systems of 49 or fewer sprinklers</w:t>
      </w:r>
      <w:r>
        <w:rPr>
          <w:rFonts w:ascii="Times New Roman" w:eastAsia="Times New Roman" w:hAnsi="Times New Roman" w:cs="Times New Roman"/>
          <w:sz w:val="24"/>
          <w:szCs w:val="24"/>
          <w:u w:val="single"/>
        </w:rPr>
        <w:t>;</w:t>
      </w:r>
      <w:r>
        <w:rPr>
          <w:rFonts w:ascii="Times New Roman" w:eastAsia="Times New Roman" w:hAnsi="Times New Roman" w:cs="Times New Roman"/>
          <w:strike/>
          <w:sz w:val="24"/>
          <w:szCs w:val="24"/>
        </w:rPr>
        <w:t>, and</w:t>
      </w:r>
      <w:r>
        <w:rPr>
          <w:rFonts w:ascii="Times New Roman" w:eastAsia="Times New Roman" w:hAnsi="Times New Roman" w:cs="Times New Roman"/>
          <w:sz w:val="24"/>
          <w:szCs w:val="24"/>
        </w:rPr>
        <w:t xml:space="preserve"> may design</w:t>
      </w:r>
    </w:p>
    <w:p w:rsidR="00A83E75" w:rsidRDefault="00A83E75" w:rsidP="00A83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alteration of an existing fire sprinkler system if the alteration consists of the relocation, addition, or deletion of </w:t>
      </w:r>
      <w:r>
        <w:rPr>
          <w:rFonts w:ascii="Times New Roman" w:eastAsia="Times New Roman" w:hAnsi="Times New Roman" w:cs="Times New Roman"/>
          <w:strike/>
          <w:sz w:val="24"/>
          <w:szCs w:val="24"/>
        </w:rPr>
        <w:t>not more than</w:t>
      </w:r>
      <w:r>
        <w:rPr>
          <w:rFonts w:ascii="Times New Roman" w:eastAsia="Times New Roman" w:hAnsi="Times New Roman" w:cs="Times New Roman"/>
          <w:sz w:val="24"/>
          <w:szCs w:val="24"/>
        </w:rPr>
        <w:t xml:space="preserve"> 49 </w:t>
      </w:r>
      <w:r>
        <w:rPr>
          <w:rFonts w:ascii="Times New Roman" w:eastAsia="Times New Roman" w:hAnsi="Times New Roman" w:cs="Times New Roman"/>
          <w:sz w:val="24"/>
          <w:szCs w:val="24"/>
          <w:u w:val="single"/>
        </w:rPr>
        <w:t>or fewer</w:t>
      </w:r>
      <w:r>
        <w:rPr>
          <w:rFonts w:ascii="Times New Roman" w:eastAsia="Times New Roman" w:hAnsi="Times New Roman" w:cs="Times New Roman"/>
          <w:sz w:val="24"/>
          <w:szCs w:val="24"/>
        </w:rPr>
        <w:t xml:space="preserve"> sprinklers, notwithstanding the size of the existing fire sprinkler system</w:t>
      </w:r>
      <w:r>
        <w:rPr>
          <w:rFonts w:ascii="Times New Roman" w:eastAsia="Times New Roman" w:hAnsi="Times New Roman" w:cs="Times New Roman"/>
          <w:sz w:val="24"/>
          <w:szCs w:val="24"/>
          <w:u w:val="single"/>
        </w:rPr>
        <w:t>; or may design the alteration of an existing fire sprinkler system if the alteration consists of the relocation or deletion of 249 or fewer sprinklers, notwithstanding the size of the existing fire sprinkler system, if there is no change of occupancy of the affected areas, as defined in the Florida Building Code and the Florida Fire Prevention Code, and there is no change in the water demand as defined in NFPA 13, “Standard for the</w:t>
      </w:r>
    </w:p>
    <w:p w:rsidR="00A83E75" w:rsidRDefault="00A83E75" w:rsidP="00A83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Installation of Sprinkler Systems,” and if the occupancy hazard classification as defined in NFPA 13 is reduced or remains the same as a result of the alteration</w:t>
      </w:r>
      <w:r>
        <w:rPr>
          <w:rFonts w:ascii="Times New Roman" w:eastAsia="Times New Roman" w:hAnsi="Times New Roman" w:cs="Times New Roman"/>
          <w:sz w:val="24"/>
          <w:szCs w:val="24"/>
        </w:rPr>
        <w:t xml:space="preserve">. A person certified as a Contractor I, Contractor II, or Contractor IV may design a </w:t>
      </w:r>
      <w:r>
        <w:rPr>
          <w:rFonts w:ascii="Times New Roman" w:eastAsia="Times New Roman" w:hAnsi="Times New Roman" w:cs="Times New Roman"/>
          <w:sz w:val="24"/>
          <w:szCs w:val="24"/>
          <w:u w:val="single"/>
        </w:rPr>
        <w:t xml:space="preserve">new </w:t>
      </w:r>
      <w:r>
        <w:rPr>
          <w:rFonts w:ascii="Times New Roman" w:eastAsia="Times New Roman" w:hAnsi="Times New Roman" w:cs="Times New Roman"/>
          <w:sz w:val="24"/>
          <w:szCs w:val="24"/>
        </w:rPr>
        <w:t xml:space="preserve">fire protection system </w:t>
      </w:r>
      <w:r>
        <w:rPr>
          <w:rFonts w:ascii="Times New Roman" w:eastAsia="Times New Roman" w:hAnsi="Times New Roman" w:cs="Times New Roman"/>
          <w:sz w:val="24"/>
          <w:szCs w:val="24"/>
          <w:u w:val="single"/>
        </w:rPr>
        <w:t>or design the alteration of an existing fire protection system,</w:t>
      </w:r>
      <w:r>
        <w:rPr>
          <w:rFonts w:ascii="Times New Roman" w:eastAsia="Times New Roman" w:hAnsi="Times New Roman" w:cs="Times New Roman"/>
          <w:sz w:val="24"/>
          <w:szCs w:val="24"/>
        </w:rPr>
        <w:t xml:space="preserve"> the scope of which complies with NFPA 13D, </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Standard for the Installation of Sprinkler Systems in One-and Two-Family Dwellings and Manufactured Homes,</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as adopted by the State Fire Marshal, notwithstanding the number of fire sprinklers. Contractor-developed plans may not be required by any local permitting authority to be sealed by a registered professional engineer.</w:t>
      </w:r>
    </w:p>
    <w:p w:rsidR="00A83E75" w:rsidRDefault="00A83E75" w:rsidP="00A83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sz w:val="24"/>
          <w:szCs w:val="24"/>
        </w:rPr>
      </w:pPr>
    </w:p>
    <w:p w:rsidR="00A83E75" w:rsidRDefault="00A83E75" w:rsidP="00A83E75">
      <w:pPr>
        <w:rPr>
          <w:rFonts w:ascii="Times New Roman" w:hAnsi="Times New Roman" w:cs="Times New Roman"/>
          <w:b/>
          <w:sz w:val="24"/>
          <w:szCs w:val="24"/>
          <w:u w:val="single"/>
        </w:rPr>
      </w:pPr>
      <w:r>
        <w:rPr>
          <w:rFonts w:ascii="Times New Roman" w:hAnsi="Times New Roman" w:cs="Times New Roman"/>
          <w:b/>
          <w:sz w:val="24"/>
          <w:szCs w:val="24"/>
          <w:u w:val="single"/>
        </w:rPr>
        <w:t>Proposed code change to the 7</w:t>
      </w:r>
      <w:r>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Edition (2020) Florida Building Code – Building </w:t>
      </w:r>
    </w:p>
    <w:p w:rsidR="00A83E75" w:rsidRDefault="00A83E75" w:rsidP="00A83E7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CHAPTER 1 SCOPE AND ADMINISTRATION</w:t>
      </w:r>
    </w:p>
    <w:p w:rsidR="00A83E75" w:rsidRDefault="00A83E75" w:rsidP="00A83E75">
      <w:pPr>
        <w:autoSpaceDE w:val="0"/>
        <w:autoSpaceDN w:val="0"/>
        <w:adjustRightInd w:val="0"/>
        <w:spacing w:after="0" w:line="240" w:lineRule="auto"/>
        <w:rPr>
          <w:rFonts w:ascii="Times New Roman" w:hAnsi="Times New Roman" w:cs="Times New Roman"/>
          <w:b/>
          <w:bCs/>
          <w:sz w:val="24"/>
          <w:szCs w:val="24"/>
        </w:rPr>
      </w:pPr>
    </w:p>
    <w:p w:rsidR="00A83E75" w:rsidRDefault="00A83E75" w:rsidP="00A83E7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Revise section 105.3.1.2 to read as follows:</w:t>
      </w:r>
    </w:p>
    <w:p w:rsidR="00A83E75" w:rsidRDefault="00A83E75" w:rsidP="00A83E7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 permit may be issued for any building construction, erection, alteration, modification, repair, or addition unless the applicant for such permit provides to the enforcing agency which issues the permit any of the following documents which apply to the construction</w:t>
      </w:r>
    </w:p>
    <w:p w:rsidR="00A83E75" w:rsidRDefault="00A83E75" w:rsidP="00A83E7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which the permit is to be issued and which shall be prepared by or under the direction of an engineer registered under Chapter 471, </w:t>
      </w:r>
      <w:r>
        <w:rPr>
          <w:rFonts w:ascii="Times New Roman" w:hAnsi="Times New Roman" w:cs="Times New Roman"/>
          <w:i/>
          <w:iCs/>
          <w:sz w:val="24"/>
          <w:szCs w:val="24"/>
        </w:rPr>
        <w:t>Florida Statutes</w:t>
      </w:r>
      <w:r>
        <w:rPr>
          <w:rFonts w:ascii="Times New Roman" w:hAnsi="Times New Roman" w:cs="Times New Roman"/>
          <w:sz w:val="24"/>
          <w:szCs w:val="24"/>
        </w:rPr>
        <w:t>:</w:t>
      </w:r>
    </w:p>
    <w:p w:rsidR="00A83E75" w:rsidRDefault="00A83E75" w:rsidP="00A83E75">
      <w:pPr>
        <w:autoSpaceDE w:val="0"/>
        <w:autoSpaceDN w:val="0"/>
        <w:adjustRightInd w:val="0"/>
        <w:spacing w:after="0" w:line="240" w:lineRule="auto"/>
        <w:rPr>
          <w:rFonts w:ascii="Times New Roman" w:hAnsi="Times New Roman" w:cs="Times New Roman"/>
          <w:sz w:val="24"/>
          <w:szCs w:val="24"/>
        </w:rPr>
      </w:pPr>
    </w:p>
    <w:p w:rsidR="00A83E75" w:rsidRDefault="00A83E75" w:rsidP="00A83E75">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Plumbing documents for any new building or addition which requires a plumbing system with more than 250 fixture units or which costs more than $125,000.</w:t>
      </w:r>
    </w:p>
    <w:p w:rsidR="00A83E75" w:rsidRDefault="00A83E75" w:rsidP="00A83E75">
      <w:pPr>
        <w:autoSpaceDE w:val="0"/>
        <w:autoSpaceDN w:val="0"/>
        <w:adjustRightInd w:val="0"/>
        <w:spacing w:after="0" w:line="240" w:lineRule="auto"/>
        <w:rPr>
          <w:rFonts w:ascii="Times New Roman" w:hAnsi="Times New Roman" w:cs="Times New Roman"/>
          <w:sz w:val="24"/>
          <w:szCs w:val="24"/>
        </w:rPr>
      </w:pPr>
    </w:p>
    <w:p w:rsidR="00A83E75" w:rsidRDefault="00A83E75" w:rsidP="00A83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720" w:hanging="72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Fire sprinkler documents for any new building or addition which includes a fire sprinkler system which contains 50 or more sprinkler heads. Personnel as authorized by chapter 633 </w:t>
      </w:r>
      <w:r>
        <w:rPr>
          <w:rFonts w:ascii="Times New Roman" w:hAnsi="Times New Roman" w:cs="Times New Roman"/>
          <w:i/>
          <w:iCs/>
          <w:sz w:val="24"/>
          <w:szCs w:val="24"/>
        </w:rPr>
        <w:t>Florida Statutes</w:t>
      </w:r>
      <w:r>
        <w:rPr>
          <w:rFonts w:ascii="Times New Roman" w:hAnsi="Times New Roman" w:cs="Times New Roman"/>
          <w:sz w:val="24"/>
          <w:szCs w:val="24"/>
        </w:rPr>
        <w:t xml:space="preserve">, may design a </w:t>
      </w:r>
      <w:r>
        <w:rPr>
          <w:rFonts w:ascii="Times New Roman" w:hAnsi="Times New Roman" w:cs="Times New Roman"/>
          <w:sz w:val="24"/>
          <w:szCs w:val="24"/>
          <w:u w:val="single"/>
        </w:rPr>
        <w:t xml:space="preserve">new </w:t>
      </w:r>
      <w:r>
        <w:rPr>
          <w:rFonts w:ascii="Times New Roman" w:hAnsi="Times New Roman" w:cs="Times New Roman"/>
          <w:sz w:val="24"/>
          <w:szCs w:val="24"/>
        </w:rPr>
        <w:t>fire sprinkler system of 49 or fewer heads</w:t>
      </w:r>
      <w:r>
        <w:rPr>
          <w:rFonts w:ascii="Times New Roman" w:hAnsi="Times New Roman" w:cs="Times New Roman"/>
          <w:sz w:val="24"/>
          <w:szCs w:val="24"/>
          <w:u w:val="single"/>
        </w:rPr>
        <w:t>;</w:t>
      </w:r>
      <w:r>
        <w:rPr>
          <w:rFonts w:ascii="Times New Roman" w:hAnsi="Times New Roman" w:cs="Times New Roman"/>
          <w:sz w:val="24"/>
          <w:szCs w:val="24"/>
        </w:rPr>
        <w:t xml:space="preserve"> </w:t>
      </w:r>
      <w:r>
        <w:rPr>
          <w:rFonts w:ascii="Times New Roman" w:hAnsi="Times New Roman" w:cs="Times New Roman"/>
          <w:strike/>
          <w:sz w:val="24"/>
          <w:szCs w:val="24"/>
        </w:rPr>
        <w:t>and</w:t>
      </w:r>
      <w:r>
        <w:rPr>
          <w:rFonts w:ascii="Times New Roman" w:hAnsi="Times New Roman" w:cs="Times New Roman"/>
          <w:sz w:val="24"/>
          <w:szCs w:val="24"/>
        </w:rPr>
        <w:t xml:space="preserve"> may design the alteration of an existing fire sprinkler system if the alteration consists of the relocation, addition or deletion of</w:t>
      </w:r>
      <w:r>
        <w:rPr>
          <w:rFonts w:ascii="Times New Roman" w:hAnsi="Times New Roman" w:cs="Times New Roman"/>
          <w:strike/>
          <w:sz w:val="24"/>
          <w:szCs w:val="24"/>
        </w:rPr>
        <w:t xml:space="preserve"> not more than</w:t>
      </w:r>
      <w:r>
        <w:rPr>
          <w:rFonts w:ascii="Times New Roman" w:hAnsi="Times New Roman" w:cs="Times New Roman"/>
          <w:sz w:val="24"/>
          <w:szCs w:val="24"/>
        </w:rPr>
        <w:t xml:space="preserve"> 49 heads </w:t>
      </w:r>
      <w:r>
        <w:rPr>
          <w:rFonts w:ascii="Times New Roman" w:hAnsi="Times New Roman" w:cs="Times New Roman"/>
          <w:sz w:val="24"/>
          <w:szCs w:val="24"/>
          <w:u w:val="single"/>
        </w:rPr>
        <w:t>or fewer</w:t>
      </w:r>
      <w:r>
        <w:rPr>
          <w:rFonts w:ascii="Times New Roman" w:hAnsi="Times New Roman" w:cs="Times New Roman"/>
          <w:sz w:val="24"/>
          <w:szCs w:val="24"/>
        </w:rPr>
        <w:t>, notwithstanding the size of the existing fire sprinkler system</w:t>
      </w:r>
      <w:r>
        <w:rPr>
          <w:rFonts w:ascii="Times New Roman" w:hAnsi="Times New Roman" w:cs="Times New Roman"/>
          <w:strike/>
          <w:sz w:val="24"/>
          <w:szCs w:val="24"/>
        </w:rPr>
        <w:t>.</w:t>
      </w:r>
      <w:r>
        <w:rPr>
          <w:rFonts w:ascii="Times New Roman" w:hAnsi="Times New Roman" w:cs="Times New Roman"/>
          <w:sz w:val="24"/>
          <w:szCs w:val="24"/>
          <w:u w:val="single"/>
        </w:rPr>
        <w:t xml:space="preserve">; </w:t>
      </w:r>
      <w:r>
        <w:rPr>
          <w:rFonts w:ascii="Times New Roman" w:eastAsia="Times New Roman" w:hAnsi="Times New Roman" w:cs="Times New Roman"/>
          <w:sz w:val="24"/>
          <w:szCs w:val="24"/>
          <w:u w:val="single"/>
        </w:rPr>
        <w:t>or may design the alteration of an existing fire sprinkler system if the alteration consists of the relocation or deletion of 249 or fewer sprinklers, notwithstanding the size of the existing fire sprinkler system, if there is no change of occupancy of the affected areas, as defined in this Code and the Florida Fire Prevention Code, and there is no change in the water demand as defined in NFPA 13, “Standard for the Installation of Sprinkler Systems,” and if the occupancy hazard classification as defined in NFPA 13 is reduced or remains the same as a result of the alteration</w:t>
      </w:r>
      <w:r>
        <w:rPr>
          <w:rFonts w:ascii="Times New Roman" w:eastAsia="Times New Roman" w:hAnsi="Times New Roman" w:cs="Times New Roman"/>
          <w:sz w:val="24"/>
          <w:szCs w:val="24"/>
        </w:rPr>
        <w:t>.</w:t>
      </w:r>
    </w:p>
    <w:p w:rsidR="00A83E75" w:rsidRDefault="00A83E75" w:rsidP="00A83E75">
      <w:pPr>
        <w:autoSpaceDE w:val="0"/>
        <w:autoSpaceDN w:val="0"/>
        <w:adjustRightInd w:val="0"/>
        <w:spacing w:after="0" w:line="240" w:lineRule="auto"/>
        <w:rPr>
          <w:rFonts w:ascii="Times New Roman" w:hAnsi="Times New Roman" w:cs="Times New Roman"/>
          <w:sz w:val="24"/>
          <w:szCs w:val="24"/>
        </w:rPr>
      </w:pPr>
    </w:p>
    <w:p w:rsidR="00A83E75" w:rsidRDefault="00A83E75" w:rsidP="00A83E75">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sz w:val="24"/>
          <w:szCs w:val="24"/>
        </w:rPr>
        <w:t>No change to the remaining text</w:t>
      </w:r>
    </w:p>
    <w:p w:rsidR="00A83E75" w:rsidRDefault="00A83E75" w:rsidP="00A83E75">
      <w:pPr>
        <w:rPr>
          <w:sz w:val="28"/>
          <w:szCs w:val="28"/>
        </w:rPr>
      </w:pPr>
    </w:p>
    <w:p w:rsidR="00A83E75" w:rsidRDefault="00FB5E97" w:rsidP="00A83E75">
      <w:pPr>
        <w:spacing w:after="0" w:line="240" w:lineRule="auto"/>
        <w:rPr>
          <w:rFonts w:ascii="Times New Roman" w:hAnsi="Times New Roman" w:cs="Times New Roman"/>
          <w:b/>
          <w:color w:val="1F497D"/>
          <w:sz w:val="24"/>
          <w:szCs w:val="24"/>
        </w:rPr>
      </w:pPr>
      <w:r>
        <w:rPr>
          <w:rFonts w:ascii="Times New Roman" w:hAnsi="Times New Roman" w:cs="Times New Roman"/>
          <w:b/>
          <w:color w:val="1F497D"/>
          <w:sz w:val="24"/>
          <w:szCs w:val="24"/>
        </w:rPr>
        <w:t xml:space="preserve">Fire </w:t>
      </w:r>
      <w:bookmarkStart w:id="0" w:name="_GoBack"/>
      <w:bookmarkEnd w:id="0"/>
      <w:r w:rsidR="00A83E75">
        <w:rPr>
          <w:rFonts w:ascii="Times New Roman" w:hAnsi="Times New Roman" w:cs="Times New Roman"/>
          <w:b/>
          <w:color w:val="1F497D"/>
          <w:sz w:val="24"/>
          <w:szCs w:val="24"/>
        </w:rPr>
        <w:t xml:space="preserve">TAC Recommendation: </w:t>
      </w:r>
      <w:r w:rsidR="00A83E75">
        <w:rPr>
          <w:rFonts w:ascii="Times New Roman" w:hAnsi="Times New Roman" w:cs="Times New Roman"/>
          <w:b/>
          <w:sz w:val="24"/>
          <w:szCs w:val="24"/>
        </w:rPr>
        <w:t>AS</w:t>
      </w:r>
    </w:p>
    <w:p w:rsidR="00A83E75" w:rsidRDefault="00A83E75" w:rsidP="00A83E75">
      <w:pPr>
        <w:spacing w:after="0" w:line="240" w:lineRule="auto"/>
        <w:rPr>
          <w:rFonts w:ascii="Times New Roman" w:hAnsi="Times New Roman" w:cs="Times New Roman"/>
          <w:b/>
          <w:color w:val="1F497D"/>
          <w:sz w:val="24"/>
          <w:szCs w:val="24"/>
        </w:rPr>
      </w:pPr>
    </w:p>
    <w:p w:rsidR="00A83E75" w:rsidRDefault="00A83E75" w:rsidP="00A83E75">
      <w:pPr>
        <w:spacing w:after="0" w:line="240" w:lineRule="auto"/>
        <w:rPr>
          <w:rFonts w:ascii="Calibri" w:hAnsi="Calibri" w:cs="Calibri"/>
          <w:b/>
          <w:color w:val="000000"/>
        </w:rPr>
      </w:pPr>
      <w:r>
        <w:rPr>
          <w:rFonts w:ascii="Times New Roman" w:hAnsi="Times New Roman" w:cs="Times New Roman"/>
          <w:b/>
          <w:color w:val="1F497D"/>
          <w:sz w:val="24"/>
          <w:szCs w:val="24"/>
        </w:rPr>
        <w:t>Commission Action:</w:t>
      </w:r>
    </w:p>
    <w:p w:rsidR="00A83E75" w:rsidRDefault="00A83E75" w:rsidP="00A83E75"/>
    <w:p w:rsidR="0039773E" w:rsidRDefault="0039773E"/>
    <w:sectPr w:rsidR="003977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EF1" w:rsidRDefault="00CD1EF1" w:rsidP="00CD1EF1">
      <w:pPr>
        <w:spacing w:after="0" w:line="240" w:lineRule="auto"/>
      </w:pPr>
      <w:r>
        <w:separator/>
      </w:r>
    </w:p>
  </w:endnote>
  <w:endnote w:type="continuationSeparator" w:id="0">
    <w:p w:rsidR="00CD1EF1" w:rsidRDefault="00CD1EF1" w:rsidP="00CD1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EF1" w:rsidRDefault="00CD1E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73805"/>
      <w:docPartObj>
        <w:docPartGallery w:val="Page Numbers (Bottom of Page)"/>
        <w:docPartUnique/>
      </w:docPartObj>
    </w:sdtPr>
    <w:sdtEndPr>
      <w:rPr>
        <w:noProof/>
      </w:rPr>
    </w:sdtEndPr>
    <w:sdtContent>
      <w:p w:rsidR="00CD1EF1" w:rsidRDefault="00CD1EF1">
        <w:pPr>
          <w:pStyle w:val="Footer"/>
          <w:jc w:val="right"/>
        </w:pPr>
        <w:r>
          <w:fldChar w:fldCharType="begin"/>
        </w:r>
        <w:r>
          <w:instrText xml:space="preserve"> PAGE   \* MERGEFORMAT </w:instrText>
        </w:r>
        <w:r>
          <w:fldChar w:fldCharType="separate"/>
        </w:r>
        <w:r w:rsidR="00FB5E97">
          <w:rPr>
            <w:noProof/>
          </w:rPr>
          <w:t>2</w:t>
        </w:r>
        <w:r>
          <w:rPr>
            <w:noProof/>
          </w:rPr>
          <w:fldChar w:fldCharType="end"/>
        </w:r>
      </w:p>
    </w:sdtContent>
  </w:sdt>
  <w:p w:rsidR="00CD1EF1" w:rsidRDefault="00CD1E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EF1" w:rsidRDefault="00CD1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EF1" w:rsidRDefault="00CD1EF1" w:rsidP="00CD1EF1">
      <w:pPr>
        <w:spacing w:after="0" w:line="240" w:lineRule="auto"/>
      </w:pPr>
      <w:r>
        <w:separator/>
      </w:r>
    </w:p>
  </w:footnote>
  <w:footnote w:type="continuationSeparator" w:id="0">
    <w:p w:rsidR="00CD1EF1" w:rsidRDefault="00CD1EF1" w:rsidP="00CD1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EF1" w:rsidRDefault="00CD1E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EF1" w:rsidRDefault="00CD1E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EF1" w:rsidRDefault="00CD1E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E75"/>
    <w:rsid w:val="0039773E"/>
    <w:rsid w:val="00A83E75"/>
    <w:rsid w:val="00CD1EF1"/>
    <w:rsid w:val="00FB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EF1"/>
  </w:style>
  <w:style w:type="paragraph" w:styleId="Footer">
    <w:name w:val="footer"/>
    <w:basedOn w:val="Normal"/>
    <w:link w:val="FooterChar"/>
    <w:uiPriority w:val="99"/>
    <w:unhideWhenUsed/>
    <w:rsid w:val="00CD1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E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EF1"/>
  </w:style>
  <w:style w:type="paragraph" w:styleId="Footer">
    <w:name w:val="footer"/>
    <w:basedOn w:val="Normal"/>
    <w:link w:val="FooterChar"/>
    <w:uiPriority w:val="99"/>
    <w:unhideWhenUsed/>
    <w:rsid w:val="00CD1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8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Business and Professional Regulation</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Madani, Mo</dc:creator>
  <cp:lastModifiedBy>Madani, Mo</cp:lastModifiedBy>
  <cp:revision>3</cp:revision>
  <dcterms:created xsi:type="dcterms:W3CDTF">2021-08-02T19:36:00Z</dcterms:created>
  <dcterms:modified xsi:type="dcterms:W3CDTF">2021-08-03T15:03:00Z</dcterms:modified>
</cp:coreProperties>
</file>